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textAlignment w:val="baseline"/>
        <w:rPr>
          <w:rFonts w:hint="eastAsia"/>
          <w:color w:val="000000" w:themeColor="text1"/>
          <w:kern w:val="0"/>
          <w:sz w:val="32"/>
          <w:szCs w:val="32"/>
          <w14:textFill>
            <w14:solidFill>
              <w14:schemeClr w14:val="tx1"/>
            </w14:solidFill>
          </w14:textFill>
        </w:rPr>
      </w:pPr>
      <w:r>
        <w:rPr>
          <w:rFonts w:hint="eastAsia"/>
          <w:color w:val="000000" w:themeColor="text1"/>
          <w:kern w:val="0"/>
          <w:sz w:val="32"/>
          <w:szCs w:val="32"/>
          <w14:textFill>
            <w14:solidFill>
              <w14:schemeClr w14:val="tx1"/>
            </w14:solidFill>
          </w14:textFill>
        </w:rPr>
        <w:t>附件4：</w:t>
      </w:r>
    </w:p>
    <w:p>
      <w:pPr>
        <w:spacing w:line="440" w:lineRule="exact"/>
        <w:jc w:val="left"/>
        <w:textAlignment w:val="baseline"/>
        <w:rPr>
          <w:rFonts w:hint="eastAsia" w:ascii="方正小标宋简体" w:hAnsi="方正小标宋简体" w:eastAsia="方正小标宋简体"/>
          <w:color w:val="000000" w:themeColor="text1"/>
          <w:sz w:val="44"/>
          <w:szCs w:val="44"/>
          <w14:textFill>
            <w14:solidFill>
              <w14:schemeClr w14:val="tx1"/>
            </w14:solidFill>
          </w14:textFill>
        </w:rPr>
      </w:pPr>
    </w:p>
    <w:p>
      <w:pPr>
        <w:spacing w:line="440" w:lineRule="exact"/>
        <w:jc w:val="center"/>
        <w:textAlignment w:val="baseline"/>
        <w:rPr>
          <w:rFonts w:hint="eastAsia" w:ascii="方正小标宋简体" w:hAns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kern w:val="0"/>
          <w:sz w:val="36"/>
          <w:szCs w:val="36"/>
          <w14:textFill>
            <w14:solidFill>
              <w14:schemeClr w14:val="tx1"/>
            </w14:solidFill>
          </w14:textFill>
        </w:rPr>
        <w:t>浙江大学博士研究生社会实践接收单位须知</w:t>
      </w:r>
    </w:p>
    <w:p>
      <w:pPr>
        <w:pStyle w:val="2"/>
        <w:snapToGrid w:val="0"/>
        <w:spacing w:line="440" w:lineRule="exact"/>
        <w:ind w:firstLine="520" w:firstLineChars="200"/>
        <w:rPr>
          <w:rFonts w:hint="eastAsia" w:ascii="仿宋_GB2312" w:eastAsia="仿宋_GB2312"/>
          <w:spacing w:val="10"/>
          <w:sz w:val="24"/>
          <w:szCs w:val="24"/>
        </w:rPr>
      </w:pPr>
    </w:p>
    <w:p>
      <w:pPr>
        <w:pStyle w:val="2"/>
        <w:snapToGrid w:val="0"/>
        <w:spacing w:line="440" w:lineRule="exact"/>
        <w:ind w:firstLine="536" w:firstLineChars="200"/>
        <w:rPr>
          <w:rFonts w:hint="eastAsia" w:ascii="仿宋_GB2312" w:eastAsia="仿宋_GB2312"/>
          <w:spacing w:val="-6"/>
          <w:szCs w:val="28"/>
        </w:rPr>
      </w:pPr>
      <w:r>
        <w:rPr>
          <w:rFonts w:hint="eastAsia" w:ascii="仿宋_GB2312" w:eastAsia="仿宋_GB2312"/>
          <w:spacing w:val="-6"/>
          <w:szCs w:val="28"/>
        </w:rPr>
        <w:t>博士研究生社会实践是浙江大学研究生培养的重要环节（博士研究生社会实践的实践内容主要包括挂职锻炼、科技服务、志愿服务和社会调研等），也是高校与地方合作、服务地方经济发展的重要方式。各接收单位为浙江大学研究生暑期社会实践的顺利展开提供了便利条件，同时也为学校培养合格人才做出了贡献，在此向各接收单位表示衷心的感谢。</w:t>
      </w:r>
    </w:p>
    <w:p>
      <w:pPr>
        <w:pStyle w:val="2"/>
        <w:snapToGrid w:val="0"/>
        <w:spacing w:line="440" w:lineRule="exact"/>
        <w:ind w:firstLine="536" w:firstLineChars="200"/>
        <w:rPr>
          <w:rFonts w:hint="eastAsia" w:ascii="仿宋_GB2312" w:eastAsia="仿宋_GB2312"/>
          <w:spacing w:val="-6"/>
          <w:szCs w:val="28"/>
        </w:rPr>
      </w:pPr>
      <w:r>
        <w:rPr>
          <w:rFonts w:hint="eastAsia" w:ascii="仿宋_GB2312" w:eastAsia="仿宋_GB2312"/>
          <w:spacing w:val="-6"/>
          <w:szCs w:val="28"/>
        </w:rPr>
        <w:t>为了保证博士研究生社会实践工作持续、顺利、有效地开展和完成，根据</w:t>
      </w:r>
      <w:r>
        <w:rPr>
          <w:rFonts w:hint="eastAsia" w:ascii="仿宋_GB2312" w:eastAsia="仿宋_GB2312"/>
          <w:spacing w:val="-6"/>
          <w:szCs w:val="28"/>
          <w:lang w:eastAsia="zh-CN"/>
        </w:rPr>
        <w:t>浙江大学博士研究生社会实践</w:t>
      </w:r>
      <w:r>
        <w:rPr>
          <w:rFonts w:hint="eastAsia" w:ascii="仿宋_GB2312" w:eastAsia="仿宋_GB2312"/>
          <w:spacing w:val="-6"/>
          <w:szCs w:val="28"/>
        </w:rPr>
        <w:t>基地</w:t>
      </w:r>
      <w:r>
        <w:rPr>
          <w:rFonts w:hint="eastAsia" w:ascii="仿宋_GB2312" w:eastAsia="仿宋_GB2312"/>
          <w:spacing w:val="-6"/>
          <w:szCs w:val="28"/>
          <w:lang w:eastAsia="zh-CN"/>
        </w:rPr>
        <w:t>（联系人：佛山市教育局高教办邓志，联系电话：</w:t>
      </w:r>
      <w:r>
        <w:rPr>
          <w:rFonts w:hint="eastAsia" w:ascii="仿宋_GB2312" w:eastAsia="仿宋_GB2312"/>
          <w:spacing w:val="-6"/>
          <w:szCs w:val="28"/>
          <w:lang w:val="en-US" w:eastAsia="zh-CN"/>
        </w:rPr>
        <w:t>0757-85133304</w:t>
      </w:r>
      <w:r>
        <w:rPr>
          <w:rFonts w:hint="eastAsia" w:ascii="仿宋_GB2312" w:eastAsia="仿宋_GB2312"/>
          <w:spacing w:val="-6"/>
          <w:szCs w:val="28"/>
          <w:lang w:eastAsia="zh-CN"/>
        </w:rPr>
        <w:t>）</w:t>
      </w:r>
      <w:r>
        <w:rPr>
          <w:rFonts w:hint="eastAsia" w:ascii="仿宋_GB2312" w:eastAsia="仿宋_GB2312"/>
          <w:spacing w:val="-6"/>
          <w:szCs w:val="28"/>
        </w:rPr>
        <w:t>建设协</w:t>
      </w:r>
      <w:bookmarkStart w:id="0" w:name="_GoBack"/>
      <w:bookmarkEnd w:id="0"/>
      <w:r>
        <w:rPr>
          <w:rFonts w:hint="eastAsia" w:ascii="仿宋_GB2312" w:eastAsia="仿宋_GB2312"/>
          <w:spacing w:val="-6"/>
          <w:szCs w:val="28"/>
        </w:rPr>
        <w:t>议的相关要求，特将有关工作说明如下：</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1.学校在落实博士研究生社会实践项目时采取双向选择的办法，将基地申报的项目面向全校研究生开放，博士研究生就自己有意向的项目与接收单位详细接洽，双方进行双向选择；</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2.为了提高博士研究生社会实践的效率，保证社会实践的顺利开展，请各接收单位高度重视与博士研究生的前期联系工作，指定具体项目负责人并提供其准确联系方式，以便在落实项目阶段，双方能够顺畅、充分地进行项目接洽。在博士研究生赴单位实践之前，双方还应就项目的详细背景、相关要求、工作计划、工作条件等进行充分沟通，以便学生能利用在校时间做好资料搜集、软件设备等方面的准备，到实践接收单位之后更快、更好地完成项目任务；</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 xml:space="preserve">3.在实践期间，接收单位需有专人负责对参加社会实践的博士研究生进行管理、督促和接待等工作，并提供博士研究生完成项目必需的工具、资料及人员协助和指导； </w:t>
      </w:r>
    </w:p>
    <w:p>
      <w:pPr>
        <w:pStyle w:val="2"/>
        <w:snapToGrid w:val="0"/>
        <w:spacing w:line="440" w:lineRule="exact"/>
        <w:ind w:firstLine="536" w:firstLineChars="200"/>
        <w:rPr>
          <w:rFonts w:hint="eastAsia" w:ascii="仿宋_GB2312" w:eastAsia="仿宋_GB2312"/>
          <w:spacing w:val="-6"/>
          <w:szCs w:val="28"/>
        </w:rPr>
      </w:pPr>
      <w:r>
        <w:rPr>
          <w:rFonts w:hint="eastAsia" w:ascii="仿宋_GB2312" w:eastAsia="仿宋_GB2312"/>
          <w:spacing w:val="-6"/>
          <w:szCs w:val="28"/>
        </w:rPr>
        <w:t>4.各接收单位应高度重视研究生实践期间的安全教育、管理和保障工作，为博士研究生的工作、生活提供安全健康的条件。如接收单位需安排实践博士研究生赴外地工作，不论时间长短，必须报基地批准；</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5.接收单位需解决参加社会实践的研究生的往返交通费用（不高于高铁二等座标准，如需在火车上过夜，则为硬卧）以及在实践期间的食宿（学校建议：住宿可参考本单位人员出差的标准，不要安排研究生住宿高档宾馆，满足基本生活条件、保证住宿安全整洁卫生、有基本的降温设施即可；伙食标准与当地平均生活水平相当、保证饮食安全卫生）；</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6.博士研究生在前往接收单位之前为准备实践项目而与单位的联系费用、经单位同意后而购买的有关资料等费用，需由接收单位给予报销；</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7.在提出实践项目和岗位需求并经基地审核确认，送交浙江大学研究生院以后，原则上不得取消该岗位和项目或进行变更；博士研究生到达实践基地后，接收单位不能单方取消研究生的实践项目和岗位。如有特殊原因，应及时通过基地与浙江大学研究生院联系，共同协商后妥善解决；</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8.接收单位可以根据本地区的情况和条件，配合基地对博士研究生进行爱国主义和国情教育，引导博士研究生树立正确的人生观、价值观和择业观。可以组织的教育活动主要包括：社会调查、参观访问、与本地技术骨干座谈、组织科技讲座、进行技术咨询和技术培训等；</w:t>
      </w:r>
    </w:p>
    <w:p>
      <w:pPr>
        <w:snapToGrid w:val="0"/>
        <w:spacing w:line="44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9.博士研究生在实践单位工作的时间为4-6周，请各基地督促实践单位按照4-6周的时间安排工作计划，博士研究生不能提前离开实践单位。如果原先申报的项目提前完成，建议结合单位需要临时增加一些阶段性研究课题或者人员培训、资料翻译、调查研究等工作；</w:t>
      </w:r>
    </w:p>
    <w:p>
      <w:pPr>
        <w:pStyle w:val="2"/>
        <w:snapToGrid w:val="0"/>
        <w:spacing w:line="440" w:lineRule="exact"/>
        <w:ind w:firstLine="536" w:firstLineChars="200"/>
        <w:rPr>
          <w:rFonts w:hint="eastAsia" w:ascii="仿宋_GB2312" w:eastAsia="仿宋_GB2312"/>
          <w:spacing w:val="-6"/>
          <w:szCs w:val="28"/>
        </w:rPr>
      </w:pPr>
      <w:r>
        <w:rPr>
          <w:rFonts w:hint="eastAsia" w:ascii="仿宋_GB2312" w:eastAsia="仿宋_GB2312"/>
          <w:spacing w:val="-6"/>
          <w:szCs w:val="28"/>
        </w:rPr>
        <w:t>10.在社会实践期间，学校原则上要求研究生应按照接收单位员工上下班时间正常作息，每周保证5个工作日。博士研究生因特殊原因需离开实践岗位超过3天，需经接收单位和学生所属高校研究生部双方同意。接收单位应本着对学生负责的态度，对参加社会实践的博士研究生严格要求。对于个别表现不好的博士研究生应及时给予批评教育，并将情况向学校反映；</w:t>
      </w:r>
    </w:p>
    <w:p>
      <w:pPr>
        <w:pStyle w:val="2"/>
        <w:snapToGrid w:val="0"/>
        <w:spacing w:line="440" w:lineRule="exact"/>
        <w:ind w:firstLine="536" w:firstLineChars="200"/>
        <w:rPr>
          <w:rFonts w:hint="eastAsia" w:ascii="仿宋_GB2312" w:eastAsia="仿宋_GB2312"/>
          <w:spacing w:val="-6"/>
          <w:szCs w:val="28"/>
        </w:rPr>
      </w:pPr>
      <w:r>
        <w:rPr>
          <w:rFonts w:hint="eastAsia" w:ascii="仿宋_GB2312" w:eastAsia="仿宋_GB2312"/>
          <w:spacing w:val="-6"/>
          <w:szCs w:val="28"/>
        </w:rPr>
        <w:t>11.社会实践结束后，接收单位有关负责人应如实、客观地填写对博士研究生的鉴定（请注明联系电话，以便核实），在学生实践结束前交实践基地汇总，实践基地将密封好的考核表由组长带回学校交指导老师。实践学生本人不接触已经签署评定意见的评定表；</w:t>
      </w:r>
    </w:p>
    <w:p>
      <w:pPr>
        <w:pStyle w:val="2"/>
        <w:snapToGrid w:val="0"/>
        <w:spacing w:line="440" w:lineRule="exact"/>
        <w:ind w:firstLine="536" w:firstLineChars="200"/>
      </w:pPr>
      <w:r>
        <w:rPr>
          <w:rFonts w:hint="eastAsia" w:ascii="仿宋_GB2312" w:eastAsia="仿宋_GB2312"/>
          <w:spacing w:val="-6"/>
          <w:szCs w:val="28"/>
        </w:rPr>
        <w:t>12.研究生社会实践虽属无偿科技服务，但其科技成果属学校的职务成果，实践接收单位可以无偿使用该项科技成果，但无权单独申请专利，只可与研究生所属高校共同申请专利。</w:t>
      </w:r>
    </w:p>
    <w:p/>
    <w:p>
      <w:pPr>
        <w:jc w:val="center"/>
        <w:rPr>
          <w:rFonts w:ascii="方正小标宋简体" w:eastAsia="方正小标宋简体"/>
          <w:color w:val="E36C0A"/>
          <w:kern w:val="0"/>
          <w:sz w:val="36"/>
          <w:szCs w:val="36"/>
        </w:rPr>
      </w:pPr>
      <w:r>
        <w:rPr>
          <w:rFonts w:hint="eastAsia" w:ascii="方正小标宋简体" w:eastAsia="方正小标宋简体"/>
          <w:color w:val="E36C0A"/>
          <w:kern w:val="0"/>
          <w:sz w:val="36"/>
          <w:szCs w:val="36"/>
        </w:rPr>
        <w:t>浙江大学各学院（系）学科专业</w:t>
      </w:r>
    </w:p>
    <w:tbl>
      <w:tblPr>
        <w:tblStyle w:val="6"/>
        <w:tblW w:w="9145" w:type="dxa"/>
        <w:tblInd w:w="-106" w:type="dxa"/>
        <w:tblLayout w:type="fixed"/>
        <w:tblCellMar>
          <w:top w:w="0" w:type="dxa"/>
          <w:left w:w="108" w:type="dxa"/>
          <w:bottom w:w="0" w:type="dxa"/>
          <w:right w:w="108" w:type="dxa"/>
        </w:tblCellMar>
      </w:tblPr>
      <w:tblGrid>
        <w:gridCol w:w="641"/>
        <w:gridCol w:w="750"/>
        <w:gridCol w:w="1605"/>
        <w:gridCol w:w="6149"/>
      </w:tblGrid>
      <w:tr>
        <w:tblPrEx>
          <w:tblLayout w:type="fixed"/>
          <w:tblCellMar>
            <w:top w:w="0" w:type="dxa"/>
            <w:left w:w="108" w:type="dxa"/>
            <w:bottom w:w="0" w:type="dxa"/>
            <w:right w:w="108" w:type="dxa"/>
          </w:tblCellMar>
        </w:tblPrEx>
        <w:trPr>
          <w:trHeight w:val="575" w:hRule="atLeast"/>
          <w:tblHeader/>
        </w:trPr>
        <w:tc>
          <w:tcPr>
            <w:tcW w:w="641" w:type="dxa"/>
            <w:tcBorders>
              <w:top w:val="single" w:color="auto" w:sz="4" w:space="0"/>
              <w:left w:val="single" w:color="auto" w:sz="4" w:space="0"/>
              <w:bottom w:val="single" w:color="auto" w:sz="4" w:space="0"/>
              <w:right w:val="single" w:color="auto" w:sz="4" w:space="0"/>
            </w:tcBorders>
            <w:vAlign w:val="center"/>
          </w:tcPr>
          <w:p>
            <w:pPr>
              <w:spacing w:line="280" w:lineRule="exact"/>
              <w:ind w:left="-199" w:leftChars="-95" w:right="-199" w:rightChars="-95"/>
              <w:jc w:val="center"/>
              <w:rPr>
                <w:rFonts w:ascii="仿宋" w:hAnsi="仿宋" w:eastAsia="仿宋"/>
                <w:b/>
                <w:bCs/>
                <w:color w:val="000000"/>
              </w:rPr>
            </w:pPr>
            <w:r>
              <w:rPr>
                <w:rFonts w:hint="eastAsia" w:ascii="仿宋" w:hAnsi="仿宋" w:eastAsia="仿宋" w:cs="仿宋"/>
                <w:b/>
                <w:bCs/>
                <w:color w:val="000000"/>
              </w:rPr>
              <w:t>序号</w:t>
            </w:r>
          </w:p>
        </w:tc>
        <w:tc>
          <w:tcPr>
            <w:tcW w:w="750"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b/>
                <w:bCs/>
                <w:color w:val="000000"/>
              </w:rPr>
            </w:pPr>
            <w:r>
              <w:rPr>
                <w:rFonts w:hint="eastAsia" w:ascii="仿宋" w:hAnsi="仿宋" w:eastAsia="仿宋" w:cs="仿宋"/>
                <w:b/>
                <w:bCs/>
                <w:color w:val="000000"/>
              </w:rPr>
              <w:t>学部</w:t>
            </w:r>
          </w:p>
        </w:tc>
        <w:tc>
          <w:tcPr>
            <w:tcW w:w="16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bCs/>
                <w:color w:val="000000"/>
              </w:rPr>
            </w:pPr>
            <w:r>
              <w:rPr>
                <w:rFonts w:hint="eastAsia" w:ascii="仿宋" w:hAnsi="仿宋" w:eastAsia="仿宋" w:cs="仿宋"/>
                <w:b/>
                <w:bCs/>
                <w:color w:val="000000"/>
              </w:rPr>
              <w:t>学院</w:t>
            </w:r>
            <w:r>
              <w:rPr>
                <w:rFonts w:ascii="仿宋" w:hAnsi="仿宋" w:eastAsia="仿宋" w:cs="仿宋"/>
                <w:b/>
                <w:bCs/>
                <w:color w:val="000000"/>
              </w:rPr>
              <w:t>/</w:t>
            </w:r>
            <w:r>
              <w:rPr>
                <w:rFonts w:hint="eastAsia" w:ascii="仿宋" w:hAnsi="仿宋" w:eastAsia="仿宋" w:cs="仿宋"/>
                <w:b/>
                <w:bCs/>
                <w:color w:val="000000"/>
              </w:rPr>
              <w:t>系</w:t>
            </w:r>
          </w:p>
        </w:tc>
        <w:tc>
          <w:tcPr>
            <w:tcW w:w="6149"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olor w:val="000000"/>
              </w:rPr>
            </w:pPr>
            <w:r>
              <w:rPr>
                <w:rFonts w:hint="eastAsia" w:ascii="仿宋" w:hAnsi="仿宋" w:eastAsia="仿宋" w:cs="仿宋"/>
                <w:b/>
                <w:bCs/>
                <w:color w:val="000000"/>
              </w:rPr>
              <w:t>相</w:t>
            </w:r>
            <w:r>
              <w:rPr>
                <w:rFonts w:ascii="仿宋" w:hAnsi="仿宋" w:eastAsia="仿宋" w:cs="仿宋"/>
                <w:b/>
                <w:bCs/>
                <w:color w:val="000000"/>
              </w:rPr>
              <w:t xml:space="preserve"> </w:t>
            </w:r>
            <w:r>
              <w:rPr>
                <w:rFonts w:hint="eastAsia" w:ascii="仿宋" w:hAnsi="仿宋" w:eastAsia="仿宋" w:cs="仿宋"/>
                <w:b/>
                <w:bCs/>
                <w:color w:val="000000"/>
              </w:rPr>
              <w:t>关</w:t>
            </w:r>
            <w:r>
              <w:rPr>
                <w:rFonts w:ascii="仿宋" w:hAnsi="仿宋" w:eastAsia="仿宋" w:cs="仿宋"/>
                <w:b/>
                <w:bCs/>
                <w:color w:val="000000"/>
              </w:rPr>
              <w:t xml:space="preserve"> </w:t>
            </w:r>
            <w:r>
              <w:rPr>
                <w:rFonts w:hint="eastAsia" w:ascii="仿宋" w:hAnsi="仿宋" w:eastAsia="仿宋" w:cs="仿宋"/>
                <w:b/>
                <w:bCs/>
                <w:color w:val="000000"/>
              </w:rPr>
              <w:t>专</w:t>
            </w:r>
            <w:r>
              <w:rPr>
                <w:rFonts w:ascii="仿宋" w:hAnsi="仿宋" w:eastAsia="仿宋" w:cs="仿宋"/>
                <w:b/>
                <w:bCs/>
                <w:color w:val="000000"/>
              </w:rPr>
              <w:t xml:space="preserve"> </w:t>
            </w:r>
            <w:r>
              <w:rPr>
                <w:rFonts w:hint="eastAsia" w:ascii="仿宋" w:hAnsi="仿宋" w:eastAsia="仿宋" w:cs="仿宋"/>
                <w:b/>
                <w:bCs/>
                <w:color w:val="000000"/>
              </w:rPr>
              <w:t>业</w:t>
            </w:r>
          </w:p>
        </w:tc>
      </w:tr>
      <w:tr>
        <w:tblPrEx>
          <w:tblLayout w:type="fixed"/>
          <w:tblCellMar>
            <w:top w:w="0" w:type="dxa"/>
            <w:left w:w="108" w:type="dxa"/>
            <w:bottom w:w="0" w:type="dxa"/>
            <w:right w:w="108" w:type="dxa"/>
          </w:tblCellMar>
        </w:tblPrEx>
        <w:trPr>
          <w:trHeight w:val="62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w:t>
            </w:r>
          </w:p>
        </w:tc>
        <w:tc>
          <w:tcPr>
            <w:tcW w:w="750" w:type="dxa"/>
            <w:vMerge w:val="restart"/>
            <w:tcBorders>
              <w:top w:val="nil"/>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r>
              <w:rPr>
                <w:rFonts w:hint="eastAsia" w:ascii="仿宋" w:hAnsi="仿宋" w:eastAsia="仿宋" w:cs="仿宋"/>
                <w:color w:val="000000"/>
              </w:rPr>
              <w:t>人文学部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传媒与国际文化学院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美学、新闻学、传播学、电视电影与视听传播学、新闻传播学</w:t>
            </w:r>
          </w:p>
        </w:tc>
      </w:tr>
      <w:tr>
        <w:tblPrEx>
          <w:tblLayout w:type="fixed"/>
          <w:tblCellMar>
            <w:top w:w="0" w:type="dxa"/>
            <w:left w:w="108" w:type="dxa"/>
            <w:bottom w:w="0" w:type="dxa"/>
            <w:right w:w="108" w:type="dxa"/>
          </w:tblCellMar>
        </w:tblPrEx>
        <w:trPr>
          <w:trHeight w:val="170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人文学院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马克思主义哲学、中国哲学、外国哲学、逻辑学、伦理学、宗教学、科学技术哲学、休闲学、文艺学、语言学及应用语言学、汉语言文字学、中国古典文献学、中国古代文学、中国现当代文学、比较文学与世界文学、考古学及博物馆学、历史地理学、专门史、中国古代史、中国近现代史、中国艺术史、世界史、设计学、哲学、中国语言文学、中国史、考古学</w:t>
            </w:r>
          </w:p>
        </w:tc>
      </w:tr>
      <w:tr>
        <w:tblPrEx>
          <w:tblLayout w:type="fixed"/>
          <w:tblCellMar>
            <w:top w:w="0" w:type="dxa"/>
            <w:left w:w="108" w:type="dxa"/>
            <w:bottom w:w="0" w:type="dxa"/>
            <w:right w:w="108" w:type="dxa"/>
          </w:tblCellMar>
        </w:tblPrEx>
        <w:trPr>
          <w:trHeight w:val="643"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外国语言文化与国际交流学院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外国语言文学、英语语言文学、俄语语言文学、法语语言文学、德语语言文学、日语语言文学、外国语言学及应用语言学</w:t>
            </w:r>
          </w:p>
        </w:tc>
      </w:tr>
      <w:tr>
        <w:tblPrEx>
          <w:tblLayout w:type="fixed"/>
          <w:tblCellMar>
            <w:top w:w="0" w:type="dxa"/>
            <w:left w:w="108" w:type="dxa"/>
            <w:bottom w:w="0" w:type="dxa"/>
            <w:right w:w="108" w:type="dxa"/>
          </w:tblCellMar>
        </w:tblPrEx>
        <w:trPr>
          <w:trHeight w:val="119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4</w:t>
            </w:r>
          </w:p>
        </w:tc>
        <w:tc>
          <w:tcPr>
            <w:tcW w:w="750" w:type="dxa"/>
            <w:vMerge w:val="restart"/>
            <w:tcBorders>
              <w:top w:val="nil"/>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r>
              <w:rPr>
                <w:rFonts w:hint="eastAsia" w:ascii="仿宋" w:hAnsi="仿宋" w:eastAsia="仿宋" w:cs="仿宋"/>
                <w:color w:val="000000"/>
              </w:rPr>
              <w:t>社会科学学部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经济学院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政治经济学、经济思想史、经济史、西方经济学、世界经济、人口、资源与环境经济学、国民经济学、区域经济学、财政学、金融学、产业经济学、国际贸易学、劳动经济学、数量经济学、互联网金融学、理论经济学、应用经济学</w:t>
            </w:r>
          </w:p>
        </w:tc>
      </w:tr>
      <w:tr>
        <w:tblPrEx>
          <w:tblLayout w:type="fixed"/>
          <w:tblCellMar>
            <w:top w:w="0" w:type="dxa"/>
            <w:left w:w="108" w:type="dxa"/>
            <w:bottom w:w="0" w:type="dxa"/>
            <w:right w:w="108" w:type="dxa"/>
          </w:tblCellMar>
        </w:tblPrEx>
        <w:trPr>
          <w:trHeight w:val="91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5</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教育学院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教育学原理、课程与教学论、教育史、比较教育学、高等教育学、教育技术学、体育人文社会学、运动人体科学、体育教育训练学、民族传统体育学、教育学</w:t>
            </w:r>
          </w:p>
        </w:tc>
      </w:tr>
      <w:tr>
        <w:tblPrEx>
          <w:tblLayout w:type="fixed"/>
          <w:tblCellMar>
            <w:top w:w="0" w:type="dxa"/>
            <w:left w:w="108" w:type="dxa"/>
            <w:bottom w:w="0" w:type="dxa"/>
            <w:right w:w="108" w:type="dxa"/>
          </w:tblCellMar>
        </w:tblPrEx>
        <w:trPr>
          <w:trHeight w:val="55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6</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光华法学院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法学理论、法律史、宪法学与行政法学、刑法学、民商法学、诉讼法学、经济法学、环境与资源保护法学、国际法学、法学</w:t>
            </w:r>
          </w:p>
        </w:tc>
      </w:tr>
      <w:tr>
        <w:tblPrEx>
          <w:tblLayout w:type="fixed"/>
          <w:tblCellMar>
            <w:top w:w="0" w:type="dxa"/>
            <w:left w:w="108" w:type="dxa"/>
            <w:bottom w:w="0" w:type="dxa"/>
            <w:right w:w="108" w:type="dxa"/>
          </w:tblCellMar>
        </w:tblPrEx>
        <w:trPr>
          <w:trHeight w:val="691"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7</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管理学院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管理科学与工程、技术与创新管理、会计学、企业管理、旅游管理、技术经济及管理、创业管理、工商管理</w:t>
            </w:r>
          </w:p>
        </w:tc>
      </w:tr>
      <w:tr>
        <w:tblPrEx>
          <w:tblLayout w:type="fixed"/>
          <w:tblCellMar>
            <w:top w:w="0" w:type="dxa"/>
            <w:left w:w="108" w:type="dxa"/>
            <w:bottom w:w="0" w:type="dxa"/>
            <w:right w:w="108" w:type="dxa"/>
          </w:tblCellMar>
        </w:tblPrEx>
        <w:trPr>
          <w:trHeight w:val="1268"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8</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公共管理学院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劳动经济学、社会学、人口学、农业经济管理、行政管理、教育经济与管理、社会保障、土地资源管理、公共信息资源管理、非传统安全管理、城市发展与管理、国际事务与全球治理、公共管理、农林经济管理</w:t>
            </w:r>
          </w:p>
        </w:tc>
      </w:tr>
      <w:tr>
        <w:tblPrEx>
          <w:tblLayout w:type="fixed"/>
          <w:tblCellMar>
            <w:top w:w="0" w:type="dxa"/>
            <w:left w:w="108" w:type="dxa"/>
            <w:bottom w:w="0" w:type="dxa"/>
            <w:right w:w="108" w:type="dxa"/>
          </w:tblCellMar>
        </w:tblPrEx>
        <w:trPr>
          <w:trHeight w:val="564"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9</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马克思主义学院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马克思主义基本原理、马克思主义中国化研究、思想政治教育、中国近现代史基本问题研究、马克思主义理论</w:t>
            </w:r>
          </w:p>
        </w:tc>
      </w:tr>
      <w:tr>
        <w:tblPrEx>
          <w:tblLayout w:type="fixed"/>
          <w:tblCellMar>
            <w:top w:w="0" w:type="dxa"/>
            <w:left w:w="108" w:type="dxa"/>
            <w:bottom w:w="0" w:type="dxa"/>
            <w:right w:w="108" w:type="dxa"/>
          </w:tblCellMar>
        </w:tblPrEx>
        <w:trPr>
          <w:trHeight w:val="62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10</w:t>
            </w:r>
          </w:p>
        </w:tc>
        <w:tc>
          <w:tcPr>
            <w:tcW w:w="750" w:type="dxa"/>
            <w:vMerge w:val="restart"/>
            <w:tcBorders>
              <w:top w:val="single" w:color="auto" w:sz="4" w:space="0"/>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r>
              <w:rPr>
                <w:rFonts w:hint="eastAsia" w:ascii="仿宋" w:hAnsi="仿宋" w:eastAsia="仿宋" w:cs="仿宋"/>
                <w:color w:val="000000"/>
              </w:rPr>
              <w:t>理学部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物理学系</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理论物理、粒子物理与原子核物理、原子与分子物理、等离子体物理、凝聚态物理、光学、无线电物理、物理学</w:t>
            </w:r>
          </w:p>
        </w:tc>
      </w:tr>
      <w:tr>
        <w:tblPrEx>
          <w:tblLayout w:type="fixed"/>
          <w:tblCellMar>
            <w:top w:w="0" w:type="dxa"/>
            <w:left w:w="108" w:type="dxa"/>
            <w:bottom w:w="0" w:type="dxa"/>
            <w:right w:w="108" w:type="dxa"/>
          </w:tblCellMar>
        </w:tblPrEx>
        <w:trPr>
          <w:trHeight w:val="52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11</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数学科学学院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基础数学、计算数学、概率论与数理统计、应用数学、运筹学与控制论、数学</w:t>
            </w:r>
          </w:p>
        </w:tc>
      </w:tr>
      <w:tr>
        <w:tblPrEx>
          <w:tblLayout w:type="fixed"/>
          <w:tblCellMar>
            <w:top w:w="0" w:type="dxa"/>
            <w:left w:w="108" w:type="dxa"/>
            <w:bottom w:w="0" w:type="dxa"/>
            <w:right w:w="108" w:type="dxa"/>
          </w:tblCellMar>
        </w:tblPrEx>
        <w:trPr>
          <w:trHeight w:val="404"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12</w:t>
            </w:r>
          </w:p>
        </w:tc>
        <w:tc>
          <w:tcPr>
            <w:tcW w:w="750" w:type="dxa"/>
            <w:vMerge w:val="continue"/>
            <w:tcBorders>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化学系</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无机化学、分析化学、有机化学、物理化学、化学</w:t>
            </w:r>
          </w:p>
        </w:tc>
      </w:tr>
      <w:tr>
        <w:tblPrEx>
          <w:tblLayout w:type="fixed"/>
          <w:tblCellMar>
            <w:top w:w="0" w:type="dxa"/>
            <w:left w:w="108" w:type="dxa"/>
            <w:bottom w:w="0" w:type="dxa"/>
            <w:right w:w="108" w:type="dxa"/>
          </w:tblCellMar>
        </w:tblPrEx>
        <w:trPr>
          <w:trHeight w:val="663"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13</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心理与行为科学系</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基础心理学、发展与教育心理学、应用心理学、心理学</w:t>
            </w:r>
          </w:p>
        </w:tc>
      </w:tr>
      <w:tr>
        <w:tblPrEx>
          <w:tblLayout w:type="fixed"/>
          <w:tblCellMar>
            <w:top w:w="0" w:type="dxa"/>
            <w:left w:w="108" w:type="dxa"/>
            <w:bottom w:w="0" w:type="dxa"/>
            <w:right w:w="108" w:type="dxa"/>
          </w:tblCellMar>
        </w:tblPrEx>
        <w:trPr>
          <w:trHeight w:val="259"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14</w:t>
            </w:r>
          </w:p>
        </w:tc>
        <w:tc>
          <w:tcPr>
            <w:tcW w:w="750" w:type="dxa"/>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r>
              <w:rPr>
                <w:rFonts w:hint="eastAsia" w:ascii="仿宋" w:hAnsi="仿宋" w:eastAsia="仿宋" w:cs="仿宋"/>
                <w:color w:val="000000"/>
              </w:rPr>
              <w:t>理学部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地球科学学院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历史地理学、大气科学、海洋地质、矿物学、岩石学、矿床学、地球化学、构造地质学、第四纪地质学、资源环境与区域规划、资源勘查与地球物理、遥感与地理信息系统、地质学</w:t>
            </w:r>
          </w:p>
        </w:tc>
      </w:tr>
      <w:tr>
        <w:tblPrEx>
          <w:tblLayout w:type="fixed"/>
          <w:tblCellMar>
            <w:top w:w="0" w:type="dxa"/>
            <w:left w:w="108" w:type="dxa"/>
            <w:bottom w:w="0" w:type="dxa"/>
            <w:right w:w="108" w:type="dxa"/>
          </w:tblCellMar>
        </w:tblPrEx>
        <w:trPr>
          <w:trHeight w:val="259"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15</w:t>
            </w:r>
          </w:p>
        </w:tc>
        <w:tc>
          <w:tcPr>
            <w:tcW w:w="750" w:type="dxa"/>
            <w:vMerge w:val="restart"/>
            <w:tcBorders>
              <w:top w:val="single" w:color="auto" w:sz="4" w:space="0"/>
              <w:left w:val="nil"/>
              <w:bottom w:val="single" w:color="auto" w:sz="4" w:space="0"/>
              <w:right w:val="single" w:color="auto" w:sz="4" w:space="0"/>
            </w:tcBorders>
            <w:vAlign w:val="center"/>
          </w:tcPr>
          <w:p>
            <w:pPr>
              <w:widowControl/>
              <w:spacing w:line="280" w:lineRule="exact"/>
              <w:ind w:left="-13" w:leftChars="-6" w:right="38" w:rightChars="18" w:firstLine="14"/>
              <w:jc w:val="center"/>
              <w:textAlignment w:val="center"/>
              <w:rPr>
                <w:rFonts w:ascii="仿宋" w:hAnsi="仿宋" w:eastAsia="仿宋"/>
                <w:color w:val="000000"/>
              </w:rPr>
            </w:pPr>
            <w:r>
              <w:rPr>
                <w:rFonts w:hint="eastAsia" w:ascii="仿宋" w:hAnsi="仿宋" w:eastAsia="仿宋" w:cs="仿宋"/>
                <w:color w:val="000000"/>
              </w:rPr>
              <w:t>工学部</w:t>
            </w:r>
          </w:p>
        </w:tc>
        <w:tc>
          <w:tcPr>
            <w:tcW w:w="1605" w:type="dxa"/>
            <w:tcBorders>
              <w:top w:val="single" w:color="auto" w:sz="4" w:space="0"/>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机械工程学院</w:t>
            </w:r>
          </w:p>
        </w:tc>
        <w:tc>
          <w:tcPr>
            <w:tcW w:w="6149" w:type="dxa"/>
            <w:tcBorders>
              <w:top w:val="single" w:color="auto" w:sz="4" w:space="0"/>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机械制造及其自动化、机械电子工程、机械设计及理论、机械工程</w:t>
            </w:r>
          </w:p>
        </w:tc>
      </w:tr>
      <w:tr>
        <w:tblPrEx>
          <w:tblLayout w:type="fixed"/>
          <w:tblCellMar>
            <w:top w:w="0" w:type="dxa"/>
            <w:left w:w="108" w:type="dxa"/>
            <w:bottom w:w="0" w:type="dxa"/>
            <w:right w:w="108" w:type="dxa"/>
          </w:tblCellMar>
        </w:tblPrEx>
        <w:trPr>
          <w:trHeight w:val="259"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16</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建筑工程学院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岩土工程、结构工程、市政工程、供热、供燃气、通风及空调工程、防灾减灾工程及防护工程、桥梁与隧道工程、道路与交通工程、水资源与水环境工程、水工结构与港口工程、工程管理、土木工程、建筑学</w:t>
            </w:r>
          </w:p>
        </w:tc>
      </w:tr>
      <w:tr>
        <w:tblPrEx>
          <w:tblLayout w:type="fixed"/>
          <w:tblCellMar>
            <w:top w:w="0" w:type="dxa"/>
            <w:left w:w="108" w:type="dxa"/>
            <w:bottom w:w="0" w:type="dxa"/>
            <w:right w:w="108" w:type="dxa"/>
          </w:tblCellMar>
        </w:tblPrEx>
        <w:trPr>
          <w:trHeight w:val="259"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17</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能源工程学院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工程热物理、热能工程、动力机械及工程、制冷及低温工程、化工过程机械、能源环境工程、新能源科学与工程、供热、供燃气、通风及空调工程、动力工程及工程热物理</w:t>
            </w:r>
          </w:p>
        </w:tc>
      </w:tr>
      <w:tr>
        <w:tblPrEx>
          <w:tblLayout w:type="fixed"/>
          <w:tblCellMar>
            <w:top w:w="0" w:type="dxa"/>
            <w:left w:w="108" w:type="dxa"/>
            <w:bottom w:w="0" w:type="dxa"/>
            <w:right w:w="108" w:type="dxa"/>
          </w:tblCellMar>
        </w:tblPrEx>
        <w:trPr>
          <w:trHeight w:val="65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18</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电气工程学院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电机与电器、电力系统及其自动化、高电压与绝缘技术、电力电子与电力传动、电工理论与新技术、电气信息技术、控制理论与控制工程、电气工程</w:t>
            </w:r>
          </w:p>
        </w:tc>
      </w:tr>
      <w:tr>
        <w:tblPrEx>
          <w:tblLayout w:type="fixed"/>
          <w:tblCellMar>
            <w:top w:w="0" w:type="dxa"/>
            <w:left w:w="108" w:type="dxa"/>
            <w:bottom w:w="0" w:type="dxa"/>
            <w:right w:w="108" w:type="dxa"/>
          </w:tblCellMar>
        </w:tblPrEx>
        <w:trPr>
          <w:trHeight w:val="65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19</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材料科学与工程学院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材料物理与化学、材料学、材料加工工程、材料科学与工程</w:t>
            </w:r>
          </w:p>
        </w:tc>
      </w:tr>
      <w:tr>
        <w:tblPrEx>
          <w:tblLayout w:type="fixed"/>
          <w:tblCellMar>
            <w:top w:w="0" w:type="dxa"/>
            <w:left w:w="108" w:type="dxa"/>
            <w:bottom w:w="0" w:type="dxa"/>
            <w:right w:w="108" w:type="dxa"/>
          </w:tblCellMar>
        </w:tblPrEx>
        <w:trPr>
          <w:trHeight w:val="1009"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20</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化学工程与生物工程学院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化工过程工程（含化学工程、化学工艺、工业催化、生态化工）、化学产品工程（含化学工程、化学工艺、应用化学）、生物化工、制药工程、化学工程与技术</w:t>
            </w:r>
          </w:p>
        </w:tc>
      </w:tr>
      <w:tr>
        <w:tblPrEx>
          <w:tblLayout w:type="fixed"/>
          <w:tblCellMar>
            <w:top w:w="0" w:type="dxa"/>
            <w:left w:w="108" w:type="dxa"/>
            <w:bottom w:w="0" w:type="dxa"/>
            <w:right w:w="108" w:type="dxa"/>
          </w:tblCellMar>
        </w:tblPrEx>
        <w:trPr>
          <w:trHeight w:val="723"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21</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海洋学院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物理海洋学、海洋化学、海洋生物学、海洋地质、船舶与海洋工程、海洋药物学、海洋科学</w:t>
            </w:r>
          </w:p>
        </w:tc>
      </w:tr>
      <w:tr>
        <w:tblPrEx>
          <w:tblLayout w:type="fixed"/>
          <w:tblCellMar>
            <w:top w:w="0" w:type="dxa"/>
            <w:left w:w="108" w:type="dxa"/>
            <w:bottom w:w="0" w:type="dxa"/>
            <w:right w:w="108" w:type="dxa"/>
          </w:tblCellMar>
        </w:tblPrEx>
        <w:trPr>
          <w:trHeight w:val="60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22</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高分子科学与工程学系</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高分子化学与物理、高分子材料、化学</w:t>
            </w:r>
          </w:p>
        </w:tc>
      </w:tr>
      <w:tr>
        <w:tblPrEx>
          <w:tblLayout w:type="fixed"/>
          <w:tblCellMar>
            <w:top w:w="0" w:type="dxa"/>
            <w:left w:w="108" w:type="dxa"/>
            <w:bottom w:w="0" w:type="dxa"/>
            <w:right w:w="108" w:type="dxa"/>
          </w:tblCellMar>
        </w:tblPrEx>
        <w:trPr>
          <w:trHeight w:val="1366"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23</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航空航天学院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一般力学与力学基础、固体力学、流体力学、工程力学、流体机械及工程、微电子学与固体电子学、导航、制导与控制、空天信息技术、飞行器设计、航空宇航推进理论与工程、航空宇航制造工程、力学、航空宇航科学与技术</w:t>
            </w:r>
          </w:p>
        </w:tc>
      </w:tr>
      <w:tr>
        <w:tblPrEx>
          <w:tblLayout w:type="fixed"/>
          <w:tblCellMar>
            <w:top w:w="0" w:type="dxa"/>
            <w:left w:w="108" w:type="dxa"/>
            <w:bottom w:w="0" w:type="dxa"/>
            <w:right w:w="108" w:type="dxa"/>
          </w:tblCellMar>
        </w:tblPrEx>
        <w:trPr>
          <w:trHeight w:val="942"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24</w:t>
            </w:r>
          </w:p>
        </w:tc>
        <w:tc>
          <w:tcPr>
            <w:tcW w:w="750" w:type="dxa"/>
            <w:vMerge w:val="restart"/>
            <w:tcBorders>
              <w:top w:val="nil"/>
              <w:left w:val="nil"/>
              <w:bottom w:val="single" w:color="auto" w:sz="4" w:space="0"/>
              <w:right w:val="single" w:color="auto" w:sz="4" w:space="0"/>
            </w:tcBorders>
            <w:vAlign w:val="center"/>
          </w:tcPr>
          <w:p>
            <w:pPr>
              <w:widowControl/>
              <w:spacing w:line="280" w:lineRule="exact"/>
              <w:ind w:left="-13" w:leftChars="-6" w:right="38" w:rightChars="18" w:firstLine="14"/>
              <w:jc w:val="center"/>
              <w:textAlignment w:val="center"/>
              <w:rPr>
                <w:rFonts w:ascii="仿宋" w:hAnsi="仿宋" w:eastAsia="仿宋"/>
                <w:color w:val="000000"/>
              </w:rPr>
            </w:pPr>
            <w:r>
              <w:rPr>
                <w:rFonts w:hint="eastAsia" w:ascii="仿宋" w:hAnsi="仿宋" w:eastAsia="仿宋" w:cs="仿宋"/>
                <w:color w:val="000000"/>
              </w:rPr>
              <w:t>信息学部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控制科学与工程学院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控制科学与工程、控制理论与控制工程、检测技术和自动化装置、系统工程、模式识别与智能系统、导航、制导与控制、网络空间安全</w:t>
            </w:r>
          </w:p>
        </w:tc>
      </w:tr>
      <w:tr>
        <w:tblPrEx>
          <w:tblLayout w:type="fixed"/>
          <w:tblCellMar>
            <w:top w:w="0" w:type="dxa"/>
            <w:left w:w="108" w:type="dxa"/>
            <w:bottom w:w="0" w:type="dxa"/>
            <w:right w:w="108" w:type="dxa"/>
          </w:tblCellMar>
        </w:tblPrEx>
        <w:trPr>
          <w:trHeight w:val="68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25</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光电科学与工程学院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光学工程、信息传感及仪器</w:t>
            </w:r>
          </w:p>
        </w:tc>
      </w:tr>
      <w:tr>
        <w:tblPrEx>
          <w:tblLayout w:type="fixed"/>
          <w:tblCellMar>
            <w:top w:w="0" w:type="dxa"/>
            <w:left w:w="108" w:type="dxa"/>
            <w:bottom w:w="0" w:type="dxa"/>
            <w:right w:w="108" w:type="dxa"/>
          </w:tblCellMar>
        </w:tblPrEx>
        <w:trPr>
          <w:trHeight w:val="38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26</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软件学院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软件工程</w:t>
            </w:r>
          </w:p>
        </w:tc>
      </w:tr>
      <w:tr>
        <w:tblPrEx>
          <w:tblLayout w:type="fixed"/>
          <w:tblCellMar>
            <w:top w:w="0" w:type="dxa"/>
            <w:left w:w="108" w:type="dxa"/>
            <w:bottom w:w="0" w:type="dxa"/>
            <w:right w:w="108" w:type="dxa"/>
          </w:tblCellMar>
        </w:tblPrEx>
        <w:trPr>
          <w:trHeight w:val="94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27</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信息与电子工程学院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物理电子学、电路与系统、电磁场与微波技术、电路与系统、微电子学与固体电子学、通信与信息系统、信号与信息处理、电子科学与技术、信息与通信工程</w:t>
            </w:r>
          </w:p>
        </w:tc>
      </w:tr>
      <w:tr>
        <w:tblPrEx>
          <w:tblLayout w:type="fixed"/>
          <w:tblCellMar>
            <w:top w:w="0" w:type="dxa"/>
            <w:left w:w="108" w:type="dxa"/>
            <w:bottom w:w="0" w:type="dxa"/>
            <w:right w:w="108" w:type="dxa"/>
          </w:tblCellMar>
        </w:tblPrEx>
        <w:trPr>
          <w:trHeight w:val="259"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28</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生物医学工程与仪器科学学院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生物医学工程、电子信息技术及仪器</w:t>
            </w:r>
          </w:p>
        </w:tc>
      </w:tr>
      <w:tr>
        <w:tblPrEx>
          <w:tblLayout w:type="fixed"/>
          <w:tblCellMar>
            <w:top w:w="0" w:type="dxa"/>
            <w:left w:w="108" w:type="dxa"/>
            <w:bottom w:w="0" w:type="dxa"/>
            <w:right w:w="108" w:type="dxa"/>
          </w:tblCellMar>
        </w:tblPrEx>
        <w:trPr>
          <w:trHeight w:val="710"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29</w:t>
            </w:r>
          </w:p>
        </w:tc>
        <w:tc>
          <w:tcPr>
            <w:tcW w:w="750" w:type="dxa"/>
            <w:vMerge w:val="continue"/>
            <w:tcBorders>
              <w:top w:val="nil"/>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计算机科学与技术学院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计算机科学与技术、软件工程、设计学、计算机系统结构、计算机应用技术、网络空间安全</w:t>
            </w:r>
          </w:p>
        </w:tc>
      </w:tr>
      <w:tr>
        <w:tblPrEx>
          <w:tblLayout w:type="fixed"/>
          <w:tblCellMar>
            <w:top w:w="0" w:type="dxa"/>
            <w:left w:w="108" w:type="dxa"/>
            <w:bottom w:w="0" w:type="dxa"/>
            <w:right w:w="108" w:type="dxa"/>
          </w:tblCellMar>
        </w:tblPrEx>
        <w:trPr>
          <w:trHeight w:val="1104"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30</w:t>
            </w:r>
          </w:p>
        </w:tc>
        <w:tc>
          <w:tcPr>
            <w:tcW w:w="750" w:type="dxa"/>
            <w:vMerge w:val="restart"/>
            <w:tcBorders>
              <w:top w:val="single" w:color="auto" w:sz="4" w:space="0"/>
              <w:left w:val="nil"/>
              <w:bottom w:val="single" w:color="auto" w:sz="4" w:space="0"/>
              <w:right w:val="single" w:color="auto" w:sz="4" w:space="0"/>
            </w:tcBorders>
            <w:vAlign w:val="center"/>
          </w:tcPr>
          <w:p>
            <w:pPr>
              <w:widowControl/>
              <w:spacing w:line="280" w:lineRule="exact"/>
              <w:ind w:left="-13" w:leftChars="-6" w:right="38" w:rightChars="18" w:firstLine="14"/>
              <w:jc w:val="center"/>
              <w:textAlignment w:val="center"/>
              <w:rPr>
                <w:rFonts w:ascii="仿宋" w:hAnsi="仿宋" w:eastAsia="仿宋"/>
                <w:color w:val="000000"/>
              </w:rPr>
            </w:pPr>
            <w:r>
              <w:rPr>
                <w:rFonts w:hint="eastAsia" w:ascii="仿宋" w:hAnsi="仿宋" w:eastAsia="仿宋" w:cs="仿宋"/>
                <w:color w:val="000000"/>
              </w:rPr>
              <w:t>农业生命环境学部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生命科学学院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海洋生物学、植物学、动物学、生理学、微生物学、遗传学、发育生物学、细胞生物学、生物化学与分子生物学、生物物理学、生物信息学、生态学、生物学</w:t>
            </w:r>
          </w:p>
        </w:tc>
      </w:tr>
      <w:tr>
        <w:tblPrEx>
          <w:tblLayout w:type="fixed"/>
          <w:tblCellMar>
            <w:top w:w="0" w:type="dxa"/>
            <w:left w:w="108" w:type="dxa"/>
            <w:bottom w:w="0" w:type="dxa"/>
            <w:right w:w="108" w:type="dxa"/>
          </w:tblCellMar>
        </w:tblPrEx>
        <w:trPr>
          <w:trHeight w:val="1384"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31</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生物系统工程与食品科学学院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机械设计及理论、农业机械化工程、农业水土工程、农业生物环境与能源工程、农业电气化与自动化、生物系统工程、食品科学、粮食、油脂及植物蛋白工程、农产品加工及贮藏工程、食品安全与营养、食品科学与工程、农业工程</w:t>
            </w:r>
          </w:p>
        </w:tc>
      </w:tr>
      <w:tr>
        <w:tblPrEx>
          <w:tblLayout w:type="fixed"/>
          <w:tblCellMar>
            <w:top w:w="0" w:type="dxa"/>
            <w:left w:w="108" w:type="dxa"/>
            <w:bottom w:w="0" w:type="dxa"/>
            <w:right w:w="108" w:type="dxa"/>
          </w:tblCellMar>
        </w:tblPrEx>
        <w:trPr>
          <w:trHeight w:val="747"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32</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环境与资源学院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环境科学、环境工程、土壤学、植物营养学、农业遥感与信息技术、水资源利用与保护、环境科学与工程、农业资源与环境</w:t>
            </w:r>
          </w:p>
        </w:tc>
      </w:tr>
      <w:tr>
        <w:tblPrEx>
          <w:tblLayout w:type="fixed"/>
          <w:tblCellMar>
            <w:top w:w="0" w:type="dxa"/>
            <w:left w:w="108" w:type="dxa"/>
            <w:bottom w:w="0" w:type="dxa"/>
            <w:right w:w="108" w:type="dxa"/>
          </w:tblCellMar>
        </w:tblPrEx>
        <w:trPr>
          <w:trHeight w:val="1376"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33</w:t>
            </w:r>
          </w:p>
        </w:tc>
        <w:tc>
          <w:tcPr>
            <w:tcW w:w="750" w:type="dxa"/>
            <w:vMerge w:val="restart"/>
            <w:tcBorders>
              <w:top w:val="single" w:color="auto" w:sz="4" w:space="0"/>
              <w:left w:val="nil"/>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r>
              <w:rPr>
                <w:rFonts w:hint="eastAsia" w:ascii="仿宋" w:hAnsi="仿宋" w:eastAsia="仿宋" w:cs="仿宋"/>
                <w:color w:val="000000"/>
              </w:rPr>
              <w:t>农业生命环境学部</w:t>
            </w:r>
          </w:p>
        </w:tc>
        <w:tc>
          <w:tcPr>
            <w:tcW w:w="1605" w:type="dxa"/>
            <w:tcBorders>
              <w:top w:val="single" w:color="auto" w:sz="4" w:space="0"/>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农业与生物技术学院</w:t>
            </w:r>
          </w:p>
        </w:tc>
        <w:tc>
          <w:tcPr>
            <w:tcW w:w="6149" w:type="dxa"/>
            <w:tcBorders>
              <w:top w:val="single" w:color="auto" w:sz="4" w:space="0"/>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生物化学与分子生物学、生物物理学、生物信息学、作物栽培与耕作学、作物遗传育种、种子科学与技术、果树学、蔬菜学、茶学、植物病理学、农业昆虫与害虫防治、农药学、作物学、园艺学、植物保护</w:t>
            </w:r>
          </w:p>
        </w:tc>
      </w:tr>
      <w:tr>
        <w:tblPrEx>
          <w:tblLayout w:type="fixed"/>
          <w:tblCellMar>
            <w:top w:w="0" w:type="dxa"/>
            <w:left w:w="108" w:type="dxa"/>
            <w:bottom w:w="0" w:type="dxa"/>
            <w:right w:w="108" w:type="dxa"/>
          </w:tblCellMar>
        </w:tblPrEx>
        <w:trPr>
          <w:trHeight w:val="1126"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34</w:t>
            </w:r>
          </w:p>
        </w:tc>
        <w:tc>
          <w:tcPr>
            <w:tcW w:w="750" w:type="dxa"/>
            <w:vMerge w:val="continue"/>
            <w:tcBorders>
              <w:left w:val="nil"/>
              <w:bottom w:val="single" w:color="auto" w:sz="4" w:space="0"/>
              <w:right w:val="single" w:color="auto" w:sz="4" w:space="0"/>
            </w:tcBorders>
            <w:vAlign w:val="center"/>
          </w:tcPr>
          <w:p>
            <w:pPr>
              <w:spacing w:line="280" w:lineRule="exact"/>
              <w:ind w:left="-13" w:leftChars="-6" w:right="38" w:rightChars="18" w:firstLine="14"/>
              <w:jc w:val="center"/>
              <w:rPr>
                <w:rFonts w:ascii="仿宋" w:hAnsi="仿宋" w:eastAsia="仿宋"/>
                <w:color w:val="000000"/>
              </w:rPr>
            </w:pP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动物科学学院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食品科学、动物遗传育种与繁殖、动物营养与饲料科学、特种经济动物饲养（含蚕、蜂）、基础兽医学、预防兽医学、临床兽医学、畜牧学、兽医学</w:t>
            </w:r>
          </w:p>
        </w:tc>
      </w:tr>
      <w:tr>
        <w:tblPrEx>
          <w:tblLayout w:type="fixed"/>
          <w:tblCellMar>
            <w:top w:w="0" w:type="dxa"/>
            <w:left w:w="108" w:type="dxa"/>
            <w:bottom w:w="0" w:type="dxa"/>
            <w:right w:w="108" w:type="dxa"/>
          </w:tblCellMar>
        </w:tblPrEx>
        <w:trPr>
          <w:trHeight w:val="725"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35</w:t>
            </w:r>
          </w:p>
        </w:tc>
        <w:tc>
          <w:tcPr>
            <w:tcW w:w="750" w:type="dxa"/>
            <w:vMerge w:val="restart"/>
            <w:tcBorders>
              <w:top w:val="nil"/>
              <w:left w:val="nil"/>
              <w:bottom w:val="single" w:color="auto" w:sz="4" w:space="0"/>
              <w:right w:val="single" w:color="auto" w:sz="4" w:space="0"/>
            </w:tcBorders>
            <w:vAlign w:val="center"/>
          </w:tcPr>
          <w:p>
            <w:pPr>
              <w:widowControl/>
              <w:spacing w:line="280" w:lineRule="exact"/>
              <w:ind w:left="-13" w:leftChars="-6" w:right="38" w:rightChars="18" w:firstLine="14"/>
              <w:jc w:val="center"/>
              <w:textAlignment w:val="center"/>
              <w:rPr>
                <w:rFonts w:ascii="仿宋" w:hAnsi="仿宋" w:eastAsia="仿宋"/>
                <w:color w:val="000000"/>
              </w:rPr>
            </w:pPr>
            <w:r>
              <w:rPr>
                <w:rFonts w:hint="eastAsia" w:ascii="仿宋" w:hAnsi="仿宋" w:eastAsia="仿宋" w:cs="仿宋"/>
                <w:color w:val="000000"/>
              </w:rPr>
              <w:t>医药学部</w:t>
            </w:r>
          </w:p>
        </w:tc>
        <w:tc>
          <w:tcPr>
            <w:tcW w:w="1605" w:type="dxa"/>
            <w:tcBorders>
              <w:top w:val="nil"/>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药学院</w:t>
            </w:r>
          </w:p>
        </w:tc>
        <w:tc>
          <w:tcPr>
            <w:tcW w:w="6149" w:type="dxa"/>
            <w:tcBorders>
              <w:top w:val="nil"/>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药物化学、药剂学、药物分析学、微生物与生化药学、药理学、药学</w:t>
            </w:r>
          </w:p>
        </w:tc>
      </w:tr>
      <w:tr>
        <w:tblPrEx>
          <w:tblLayout w:type="fixed"/>
          <w:tblCellMar>
            <w:top w:w="0" w:type="dxa"/>
            <w:left w:w="108" w:type="dxa"/>
            <w:bottom w:w="0" w:type="dxa"/>
            <w:right w:w="108" w:type="dxa"/>
          </w:tblCellMar>
        </w:tblPrEx>
        <w:trPr>
          <w:trHeight w:val="3364" w:hRule="atLeast"/>
        </w:trPr>
        <w:tc>
          <w:tcPr>
            <w:tcW w:w="641" w:type="dxa"/>
            <w:tcBorders>
              <w:top w:val="nil"/>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rPr>
            </w:pPr>
            <w:r>
              <w:rPr>
                <w:rFonts w:ascii="仿宋" w:hAnsi="仿宋" w:eastAsia="仿宋" w:cs="仿宋"/>
                <w:color w:val="000000"/>
              </w:rPr>
              <w:t>36</w:t>
            </w:r>
          </w:p>
        </w:tc>
        <w:tc>
          <w:tcPr>
            <w:tcW w:w="750" w:type="dxa"/>
            <w:vMerge w:val="continue"/>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color w:val="000000"/>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80" w:lineRule="exact"/>
              <w:ind w:right="-90" w:rightChars="-43"/>
              <w:jc w:val="center"/>
              <w:rPr>
                <w:rFonts w:ascii="仿宋" w:hAnsi="仿宋" w:eastAsia="仿宋"/>
                <w:color w:val="000000"/>
              </w:rPr>
            </w:pPr>
            <w:r>
              <w:rPr>
                <w:rFonts w:hint="eastAsia" w:ascii="仿宋" w:hAnsi="仿宋" w:eastAsia="仿宋" w:cs="仿宋"/>
                <w:color w:val="000000"/>
              </w:rPr>
              <w:t>医学院</w:t>
            </w:r>
          </w:p>
        </w:tc>
        <w:tc>
          <w:tcPr>
            <w:tcW w:w="6149" w:type="dxa"/>
            <w:tcBorders>
              <w:top w:val="single" w:color="auto" w:sz="4" w:space="0"/>
              <w:left w:val="nil"/>
              <w:bottom w:val="single" w:color="auto" w:sz="4" w:space="0"/>
              <w:right w:val="single" w:color="auto" w:sz="4" w:space="0"/>
            </w:tcBorders>
            <w:vAlign w:val="center"/>
          </w:tcPr>
          <w:p>
            <w:pPr>
              <w:spacing w:line="280" w:lineRule="exact"/>
              <w:jc w:val="left"/>
              <w:rPr>
                <w:rFonts w:ascii="仿宋" w:hAnsi="仿宋" w:eastAsia="仿宋"/>
                <w:color w:val="000000"/>
              </w:rPr>
            </w:pPr>
            <w:r>
              <w:rPr>
                <w:rFonts w:hint="eastAsia" w:ascii="仿宋" w:hAnsi="仿宋" w:eastAsia="仿宋" w:cs="仿宋"/>
                <w:color w:val="000000"/>
              </w:rPr>
              <w:t>生理学、微生物学、神经生物学、遗传学、细胞生物学、生物化学与分子生物学、生物物理学、生物信息学、人体解剖与组织胚胎学、免疫学、病原生物学、病理学与病理生理学、法医学、干细胞和再生医学、内科学、儿科学、老年医学、神经病学、精神病与精神卫生学、皮肤病与性病学、影像医学与核医学、临床检验诊断学、外科学、妇产科学、眼科学、耳鼻咽喉科学、肿瘤学、麻醉学、急诊医学、移植医学、全科医学、微创医学、重症医学、口腔基础医学、口腔临床医学、流行病与卫生统计学、劳动卫生与环境卫生学、营养与食品卫生学、卫生毒理学、药理学、护理学、基础医学、临床医学、公共卫生与预防医学、口腔医学</w:t>
            </w:r>
          </w:p>
        </w:tc>
      </w:tr>
    </w:tbl>
    <w:p>
      <w:pPr>
        <w:spacing w:line="660" w:lineRule="exact"/>
        <w:jc w:val="center"/>
        <w:textAlignment w:val="baseline"/>
        <w:rPr>
          <w:rFonts w:hint="eastAsia" w:ascii="方正小标宋简体" w:hAnsi="方正小标宋简体" w:eastAsia="方正小标宋简体"/>
          <w:sz w:val="44"/>
          <w:szCs w:val="44"/>
        </w:rPr>
      </w:pPr>
    </w:p>
    <w:p>
      <w:pPr>
        <w:spacing w:line="440" w:lineRule="exact"/>
        <w:jc w:val="center"/>
        <w:textAlignment w:val="baseline"/>
        <w:rPr>
          <w:rFonts w:hint="eastAsia" w:ascii="方正小标宋简体" w:hAnsi="方正小标宋简体" w:eastAsia="方正小标宋简体"/>
          <w:sz w:val="44"/>
          <w:szCs w:val="44"/>
        </w:rPr>
      </w:pPr>
    </w:p>
    <w:p>
      <w:pPr>
        <w:spacing w:line="440" w:lineRule="exact"/>
        <w:jc w:val="center"/>
        <w:textAlignment w:val="baseline"/>
        <w:rPr>
          <w:rFonts w:hint="eastAsia" w:ascii="方正小标宋简体" w:hAnsi="方正小标宋简体" w:eastAsia="方正小标宋简体"/>
          <w:sz w:val="44"/>
          <w:szCs w:val="44"/>
        </w:rPr>
      </w:pPr>
    </w:p>
    <w:p>
      <w:pPr>
        <w:spacing w:line="440" w:lineRule="exact"/>
        <w:jc w:val="center"/>
        <w:textAlignment w:val="baseline"/>
        <w:rPr>
          <w:rFonts w:hint="eastAsia" w:ascii="方正小标宋简体" w:hAnsi="方正小标宋简体" w:eastAsia="方正小标宋简体"/>
          <w:sz w:val="44"/>
          <w:szCs w:val="44"/>
        </w:rPr>
      </w:pPr>
    </w:p>
    <w:p>
      <w:pPr>
        <w:spacing w:line="440" w:lineRule="exact"/>
        <w:jc w:val="center"/>
        <w:textAlignment w:val="baseline"/>
        <w:rPr>
          <w:rFonts w:hint="eastAsia" w:ascii="方正小标宋简体" w:hAnsi="方正小标宋简体" w:eastAsia="方正小标宋简体"/>
          <w:sz w:val="44"/>
          <w:szCs w:val="44"/>
        </w:rPr>
      </w:pPr>
    </w:p>
    <w:sectPr>
      <w:footerReference r:id="rId3" w:type="default"/>
      <w:pgSz w:w="11906" w:h="16838"/>
      <w:pgMar w:top="2097" w:right="1361" w:bottom="158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鼎小标宋简">
    <w:altName w:val="宋体"/>
    <w:panose1 w:val="0201060901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50" w:space="0"/>
      </w:pBdr>
    </w:pPr>
    <w:r>
      <w:fldChar w:fldCharType="begin"/>
    </w:r>
    <w:r>
      <w:rPr>
        <w:rStyle w:val="5"/>
      </w:rPr>
      <w:instrText xml:space="preserve"> PAGE  </w:instrText>
    </w:r>
    <w:r>
      <w:fldChar w:fldCharType="separate"/>
    </w:r>
    <w:r>
      <w:rPr>
        <w:rStyle w:val="5"/>
      </w:rPr>
      <w:t>10</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023D"/>
    <w:rsid w:val="334E7144"/>
    <w:rsid w:val="3B7B023D"/>
    <w:rsid w:val="40954F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7">
    <w:name w:val="正文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2018-03-08T09:02:00Z</dcterms:created>
  <dc:creator>未定义</dc:creator>
  <cp:lastModifiedBy>未定义</cp:lastModifiedBy>
  <dcterms:modified xsi:type="dcterms:W3CDTF">2018-03-09T06:39:17Z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